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2021 at 08:27 AM by David Adamson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02 May 2021 at 11:12 AM by Nicole Kotoski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2021 at 08:27 AM by David Adamson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02 May 2021 at 11:12 AM by Nicole Kotoski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Essendon Keilor College (8806)</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1047896"/>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1047896"/>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19466A" w:rsidRPr="001D3C2B" w:rsidP="0019466A">
      <w:pPr>
        <w:pStyle w:val="Style1"/>
        <w:spacing w:before="0" w:after="120"/>
      </w:pPr>
      <w:r w:rsidRPr="001D3C2B">
        <w:t>What’s changed in 2020?</w:t>
      </w:r>
    </w:p>
    <w:p w:rsidR="00046522" w:rsidRPr="00046522" w:rsidP="00046522">
      <w:pPr>
        <w:pStyle w:val="ESBodyText0"/>
        <w:spacing w:line="240" w:lineRule="auto"/>
        <w:rPr>
          <w:b/>
          <w:bCs/>
        </w:rPr>
      </w:pPr>
      <w:bookmarkStart w:id="0" w:name="_Hlk64558266"/>
      <w:bookmarkStart w:id="1" w:name="_Hlk64558590"/>
      <w:r w:rsidRPr="00046522">
        <w:rPr>
          <w:b/>
          <w:bCs/>
        </w:rPr>
        <w:t>Improved appearance</w:t>
      </w:r>
    </w:p>
    <w:p w:rsidR="00046522" w:rsidRPr="00046522" w:rsidP="00046522">
      <w:pPr>
        <w:pStyle w:val="ESBodyText0"/>
        <w:spacing w:line="240" w:lineRule="auto"/>
      </w:pPr>
      <w:bookmarkStart w:id="2" w:name="_Hlk64557988"/>
      <w:r w:rsidRPr="00046522">
        <w:t>The appearance of the Performance Summary has been updated to more clearly represent information and to assist interpretation and comparison of individual school’s data with state averages and similar school groups.</w:t>
      </w:r>
      <w:bookmarkEnd w:id="2"/>
    </w:p>
    <w:p w:rsidR="00046522" w:rsidP="00046522">
      <w:pPr>
        <w:pStyle w:val="ESBodyText0"/>
        <w:spacing w:line="240" w:lineRule="auto"/>
        <w:rPr>
          <w:b/>
          <w:bCs/>
        </w:rPr>
      </w:pPr>
      <w:r w:rsidRPr="00046522">
        <w:rPr>
          <w:b/>
          <w:bCs/>
        </w:rPr>
        <w:t>School performance data</w:t>
      </w:r>
    </w:p>
    <w:p w:rsidR="00046522" w:rsidRPr="00046522" w:rsidP="00046522">
      <w:pPr>
        <w:pStyle w:val="ESBodyText0"/>
        <w:spacing w:line="240" w:lineRule="auto"/>
      </w:pPr>
      <w:bookmarkStart w:id="3" w:name="_Hlk64558033"/>
      <w:r w:rsidRPr="00046522">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046522" w:rsidRPr="00046522" w:rsidP="00046522">
      <w:pPr>
        <w:pStyle w:val="ESBodyText0"/>
        <w:spacing w:line="240" w:lineRule="auto"/>
      </w:pPr>
      <w:r w:rsidRPr="00046522">
        <w:t>For example, in 2020 school-based surveys ran under changed circumstances, and NAPLAN was not conducted. Absence and attendance data may have been influenced by local processes and procedures adopted in response to remote and flexible learning.</w:t>
      </w:r>
    </w:p>
    <w:p w:rsidR="00046522" w:rsidP="00046522">
      <w:pPr>
        <w:pStyle w:val="ESBodyText0"/>
        <w:spacing w:after="240" w:line="240" w:lineRule="auto"/>
      </w:pPr>
      <w:r w:rsidRPr="00046522">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046522">
        <w:t>.</w:t>
      </w:r>
      <w:bookmarkEnd w:id="1"/>
      <w:bookmarkEnd w:id="3"/>
    </w:p>
    <w:p w:rsidR="005568AC" w:rsidRPr="006825C7" w:rsidP="0019466A">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046522" w:rsidP="00046522">
      <w:pPr>
        <w:pStyle w:val="ESBodyText0"/>
        <w:spacing w:line="240" w:lineRule="auto"/>
      </w:pPr>
      <w:r>
        <w:t>The About Our School section provides a brief background on the school, an outline of the school’s performance over the year and future directions.</w:t>
      </w:r>
    </w:p>
    <w:p w:rsidR="00046522" w:rsidP="00046522">
      <w:pPr>
        <w:pStyle w:val="ESBodyText0"/>
        <w:spacing w:line="240" w:lineRule="auto"/>
      </w:pPr>
      <w:r>
        <w:t>The ‘School Context’ describes the school’s vision, values and purpose. Details include the school’s geographic location, size and structure, social characteristics, enrolment characteristics and special programs.</w:t>
      </w:r>
    </w:p>
    <w:p w:rsidR="00B637FF" w:rsidP="00046522">
      <w:pPr>
        <w:pStyle w:val="ESBodyText0"/>
        <w:spacing w:after="240" w:line="240" w:lineRule="auto"/>
      </w:pPr>
      <w:r>
        <w:t>The ‘Framework for Improving Student Outcomes (FISO)’ section includes the improvement initiatives the school has selected and the progress they have made towards achieving them.</w:t>
      </w:r>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sidR="0069610B">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874585">
        <w:rPr>
          <w:rFonts w:eastAsia="Arial" w:cs="Times New Roman"/>
          <w:bCs/>
          <w:color w:val="000000"/>
          <w:szCs w:val="20"/>
        </w:rPr>
        <w:t>for Secondary schools</w:t>
      </w:r>
    </w:p>
    <w:p w:rsidR="00A14E75"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sidR="00874585">
        <w:rPr>
          <w:rFonts w:eastAsia="Arial" w:cs="Times New Roman"/>
          <w:bCs/>
          <w:color w:val="000000"/>
          <w:szCs w:val="20"/>
        </w:rPr>
        <w:t xml:space="preserve"> for Secondary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Pr="0019466A" w:rsidP="00046522">
      <w:pPr>
        <w:spacing w:after="100" w:line="240" w:lineRule="auto"/>
        <w:ind w:left="1791" w:hanging="357"/>
        <w:rPr>
          <w:rFonts w:eastAsia="Arial" w:cs="Times New Roman"/>
          <w:i/>
          <w:iCs/>
          <w:color w:val="000000"/>
          <w:sz w:val="16"/>
        </w:rPr>
      </w:pPr>
      <w:r w:rsidRPr="0019466A">
        <w:rPr>
          <w:rFonts w:eastAsia="Arial" w:cs="Times New Roman"/>
          <w:i/>
          <w:iCs/>
          <w:color w:val="000000"/>
          <w:sz w:val="16"/>
        </w:rPr>
        <w:t xml:space="preserve">Note: </w:t>
      </w:r>
      <w:r w:rsidRPr="0019466A">
        <w:rPr>
          <w:rFonts w:eastAsia="Arial" w:cs="Times New Roman"/>
          <w:i/>
          <w:iCs/>
          <w:color w:val="000000"/>
          <w:sz w:val="16"/>
        </w:rPr>
        <w:t>NAPLAN tests were not conducted in 2020</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w:t>
      </w:r>
      <w:r>
        <w:rPr>
          <w:rFonts w:eastAsia="Arial" w:cs="Times New Roman"/>
          <w:color w:val="000000"/>
          <w:szCs w:val="20"/>
        </w:rPr>
        <w:t>ll subjects for Victorian Certificate of Education (VCE) examinations</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50417D">
      <w:pPr>
        <w:spacing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and engagement at school, including:</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rsidR="00B010E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46522">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P="00046522">
      <w:pPr>
        <w:pStyle w:val="ESBodyText0"/>
        <w:spacing w:after="0" w:line="240" w:lineRule="auto"/>
      </w:pPr>
      <w:r>
        <w:t xml:space="preserve">Results are displayed for the latest year </w:t>
      </w:r>
      <w:r w:rsidR="00733CB7">
        <w:t xml:space="preserve">and </w:t>
      </w:r>
      <w:r>
        <w:t>the average of the last four years (where available).</w:t>
      </w:r>
    </w:p>
    <w:p w:rsidR="0019466A" w:rsidRPr="00046522" w:rsidP="00046522">
      <w:pPr>
        <w:spacing w:after="0" w:line="240" w:lineRule="auto"/>
        <w:rPr>
          <w:rFonts w:eastAsiaTheme="majorEastAsia" w:cstheme="majorBidi"/>
          <w:bCs/>
          <w:sz w:val="16"/>
          <w:szCs w:val="16"/>
        </w:rPr>
      </w:pPr>
      <w:r>
        <w:br w:type="page"/>
      </w:r>
    </w:p>
    <w:p w:rsidR="0019466A" w:rsidP="0019466A">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836D70"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B637FF"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836D70" w:rsidP="00836D70">
      <w:pPr>
        <w:spacing w:line="240" w:lineRule="auto"/>
        <w:rPr>
          <w:rFonts w:eastAsia="Arial" w:cs="Times New Roman"/>
          <w:color w:val="000000"/>
          <w:szCs w:val="20"/>
        </w:rPr>
      </w:pPr>
      <w:r w:rsidRPr="008F19C0">
        <w:rPr>
          <w:rFonts w:eastAsia="Arial" w:cs="Times New Roman"/>
          <w:color w:val="000000"/>
          <w:szCs w:val="20"/>
        </w:rPr>
        <w:t>‘NDP’ refers to no data being published for privacy reasons or where there are insufficient underlying data</w:t>
      </w:r>
      <w:r>
        <w:rPr>
          <w:rFonts w:eastAsia="Arial" w:cs="Times New Roman"/>
          <w:color w:val="000000"/>
          <w:szCs w:val="20"/>
        </w:rPr>
        <w:t xml:space="preserve">. For example, very low </w:t>
      </w:r>
      <w:r w:rsidRPr="008F19C0">
        <w:rPr>
          <w:rFonts w:eastAsia="Arial" w:cs="Times New Roman"/>
          <w:color w:val="000000"/>
          <w:szCs w:val="20"/>
        </w:rPr>
        <w:t>numbers</w:t>
      </w:r>
      <w:r>
        <w:rPr>
          <w:rFonts w:eastAsia="Arial" w:cs="Times New Roman"/>
          <w:color w:val="000000"/>
          <w:szCs w:val="20"/>
        </w:rPr>
        <w:t xml:space="preserve">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rsidR="00836D70"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rsidR="004B0401" w:rsidP="00836D70">
      <w:pPr>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836D70" w:rsidP="00836D70">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development and active and informed citizenship. </w:t>
      </w:r>
    </w:p>
    <w:p w:rsidR="00836D70"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rsidR="00836D70"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836D70"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836D70">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rsidR="003F425B"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Essendon Keilor College was formed in 1993 from the amalgamation of 3 schools and the closure of 2 others. The College is located on 3 sites, Junior (Years 7 to 9) Campuses at Niddrie and Keilor East, and the Senior Campus (Years 10 to 12) at Essendon. </w:t>
              <w:br/>
              <w:t>Our Vision</w:t>
              <w:br/>
              <w:t>To develop accomplished citizens who contribute, live meaningfully and succeed.</w:t>
              <w:br/>
              <w:t>Our Mission</w:t>
              <w:br/>
              <w:t>To deliver outstanding education in a safe, engaging environment that fosters curiosity, creativity, communication, problem solving, independence, resilience and civic-mindedness</w:t>
              <w:br/>
              <w:t>The SFO and SFOE varied a little across the 3 campuses:</w:t>
              <w:br/>
              <w:t>Essendon – SFO = 0.5424, SFOE = 0.4776</w:t>
              <w:br/>
              <w:t>Niddrie – SFO = 0.5145, SFOE = 0.4558</w:t>
              <w:br/>
              <w:t>East Keilor – SFO = 0.5635, SFOE = 0.4707</w:t>
              <w:br/>
              <w:t>14% of students had English as an additional language and 1% were Aboriginal or Torres Strait Islander.</w:t>
              <w:br/>
              <w:t>It is anticipated that enrolments will increase in the next five years due to demographic changes in the local community. Year 7 enrolments are increasing and a number of students enrol at the Senior Campus to complete their VCE. There is predicted significant population growth in the schools catchment area in coming years. This is confirmed by larger enrolments in local Primary schools. One junior campus is on either side of the Tullamarine/Calder freeways. This provides easy access to students from outside the catchment in “growth corridors” who may be looking for smaller sites, so it is anticipated that Year 7 enrolments will continue to increase. The opening of the rebuilt Niddrie Campus led a doubling of the Year 7 enrolment on the Campus.</w:t>
              <w:br/>
              <w:t>In 2020 the College was in the third year of the Strategic Plan for 2018/2021.</w:t>
              <w:br/>
              <w:t>The College runs a large International Student program, but in 2020 the number were reduced significantly due to COVID. The students who did enrol attended our accredited English Language Centre where students complete their 20 weeks of English language training before entering mainstream classes and completing an academic VCE program.</w:t>
              <w:br/>
              <w:t xml:space="preserve">The facilities in 2020 included STEM Centres, libraries and gymnasiums on each campus, specialist facilities at Senior Campus (e.g. Music Technology, Photography, Media/Multi-media) and extensive ovals on 2 junior campuses. The student computer ratio is 1:1 through a Bring your Own Device program and notebook computers available on each Campus. </w:t>
              <w:br/>
              <w:t>The Senior Campus has a strong academic program offering over 30 VCE studies, 2 VET subjects and Intermediate and Senior VCAL. The College runs specialist programs in Sport and Recreation (Sport and Recreation Industry Program in partnership with Victoria University), Languages, Performing Arts and the Visual Arts.</w:t>
              <w:br/>
              <w:t>All ‘Program for Students with a Disability’ students showed progress at satisfactory or above in achieving their individual goals.</w:t>
              <w:br/>
              <w:t>This school had 87 equivalent full-time staff: 6 Principal class, 58 teachers and 23 Education Support Staff.</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2020 the College focused on three FISO improvement initiatives:</w:t>
              <w:br/>
              <w:t>•</w:t>
              <w:tab/>
              <w:t>Curriculum Planning and Assessment,</w:t>
              <w:br/>
              <w:t>•</w:t>
              <w:tab/>
              <w:t xml:space="preserve">Building Leadership Teams </w:t>
              <w:br/>
              <w:t>•</w:t>
              <w:tab/>
              <w:t xml:space="preserve">Empowering Students and Building School Pride. </w:t>
              <w:br/>
              <w:t>Documentation of the Curriculum Plan in line with the Victorian Curriculum continued. A school based professional development program was begun with introductory work on introducing Professional Learning Communities including a pilot in Terms 3 and 4. The focus of the professional learning was around academic vocabulary, but due to COVID restrictions the planned full implementation was delayed.</w:t>
              <w:br/>
              <w:t>The Middle Years Literacy and Numeracy Support initiative was embedded at Year 10.</w:t>
              <w:br/>
              <w:t>The Supporting High Reading Growth Program at Year 9 was introduced. The program focussed on differentiated teaching practices including text analysis through Close Reading. The program began before remote learning and although it was only partially implemented early student data showed growth. The High Ability Practice Leaders program was introduced at the Junior Campuses.</w:t>
              <w:br/>
              <w:t>All initiatives that started in 2020 will continue in 2021.</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There was continued use of data focused on improving student performance in the VCE. </w:t>
              <w:br/>
              <w:t>Successful completion rates were;</w:t>
              <w:br/>
              <w:t>•</w:t>
              <w:tab/>
              <w:t>VCE – 98%</w:t>
              <w:br/>
              <w:t>•</w:t>
              <w:tab/>
              <w:t>VET – 88%</w:t>
              <w:br/>
              <w:t>•</w:t>
              <w:tab/>
              <w:t>VCAL – 96%</w:t>
              <w:br/>
              <w:t>As NAPLAN was cancelled other school based data with a focus on measuring student growth was used to measure student progress, included PAT testing. Teacher judgements were similar to the State figures and above similar schools.</w:t>
              <w:br/>
              <w:t>During remote learning many students responded well to self-directed and project-based learning tasks and staff utilised online resources for content-delivery and assessment. In 2021, we plan to use the experience of remote learning to develop new ways of differentiating for students.</w:t>
              <w:br/>
              <w:br/>
              <w:t>PSD students all had individual learning plans and all showed significant progress.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Student attendance improved in 2020 to be better than both state, network and like school comparisons. Attendance rates were above 90% at all year levels and days absent lower than the State and similar schools. Non-attendance was addressed through a strategy of working closely, and immediately, with parents and students and focussing on the importance of regular attendance. The SWPBS program addresses student engagement and well-being. The three weekly progress reports were embedded as part of the school culture which gave students and their family’s immediate feedback on progress.</w:t>
              <w:br/>
              <w:t>Student Retention improved and was above the State figure for Year 7 to 12 retention. While the Retention rate was below similar schools and State figures for Year 7 to 10 there was an improvement on 2019 of 5% and the figure was higher than the 4 year average. The low 4 year average is a result of the disruption of the building program which was completed at the end of 2018. The student students who bore the brunt of the building disruptions were in Years 7,8 and 9 and are now in Years 10, 11 and 12.</w:t>
              <w:br/>
              <w:t>For students exiting to further studies and full time employment, Essendon Keilor College achieved outcomes that are above state and similar school comparisons. The Student Pathways coordinator focused on positive pathways for all students and increasing the number of students going into full-time work or further study. The course counselling process for Year 9 students in the transition to the Senior Campus was developed further along with an improved counselling process for students enrolling from outside the College. Year 9 students completed the Morrisby on-line program which was followed up with one on one counselling. This ensured that better informed choices were made leading to suitable pathways. The successful mentoring program continued to support students at risk of disengagement. In 2020 the college continued the implementation of the My Career Portfolio program which included the Morrisby Report for each student indicating possible career pathways.</w:t>
              <w:br/>
              <w:br/>
              <w:t xml:space="preserve">Student Engagement continued to be a strong focus for the school in 2020. College leadership participated in a series of workshops delivered by Russell Quaglia and began to implement a series of strategies around improving student voice and agency. Other informal groups provided a variety of avenues for students to contribute. </w:t>
              <w:br/>
              <w:t xml:space="preserve">The specialised Year 9 program continued in 2020. This program focussed on engagement and extension of students through community action programs, to supplement a rigorous and challenging academic program. </w:t>
              <w:br/>
              <w:t>In 2020 the College continued the Specialist Senior Sport and Recreation Industry Program in partnership with Victoria University and partnerships with La Trobe University and the University of Melbourne around STEM.</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In 2020 the College continued to embed the School Wide Positive Behaviours Support and Respectful Relations programs both of which focus on improving student engagement and wellbeing through a range of positive strategies. </w:t>
              <w:br/>
              <w:t>Students did not complete the Attitudes to School Survey, but internal data and parent and teacher survey data suggest that the sense of connectedness has been maintained if not improved, taking into account the impact of remote learning.</w:t>
              <w:br/>
              <w:t>Connections with families were maintained through live streaming of events such as the Music Soiree, Valedictory Ceremony, Art Show and Awards Presentation Evening. Parent/Teacher Conversations were also held online.</w:t>
              <w:br/>
              <w:t>In Term 4 a Mental Health Practitioner was employed to support students with low to medium level mental health issues and to work with staff on preventative strategies.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The large locally raised funds figure is due to fees paid by students in the large International Student Program, although this is significantly lower than other years due to a 50% decline in international student enrolments</w:t>
              <w:br/>
              <w:t>In 2020 there was a significant drop in earnings form hire of facilities due to COVID, but in 2021 community access to all College facilities will be restored.</w:t>
              <w:br/>
              <w:t>The net operating deficit is due to staff who have been employed, in addition to the SRP, to service the International Student Program.</w:t>
              <w:br/>
              <w:t>Equity funding was expended on Literacy and Numeracy support through the employment of teaching assistants and the implementation of a number of support programs, including teacher professional development.</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"https://www.ekc.vic.edu.au" </w:instrText>
            </w:r>
            <w:r>
              <w:rPr>
                <w:rFonts w:eastAsia="Arial"/>
                <w:b/>
                <w:bCs/>
                <w:sz w:val="22"/>
                <w:szCs w:val="22"/>
              </w:rPr>
              <w:fldChar w:fldCharType="separate"/>
            </w:r>
            <w:r>
              <w:rPr>
                <w:rFonts w:eastAsia="Arial"/>
                <w:b/>
                <w:bCs/>
                <w:color w:val="0000EE"/>
                <w:sz w:val="22"/>
                <w:szCs w:val="22"/>
                <w:u w:val="single"/>
              </w:rPr>
              <w:t>https://www.ekc.vic.edu.au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836D70">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rsidRPr="00836D70">
        <w:t>Refer to the ‘How to read the Annual Report’ sect</w:t>
      </w:r>
      <w:r>
        <w: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683</w:t>
      </w:r>
      <w:r>
        <w:t xml:space="preserve"> students were enrolled at this school in </w:t>
      </w:r>
      <w:r>
        <w:t>2020</w:t>
      </w:r>
      <w:r>
        <w:t xml:space="preserve">, </w:t>
      </w:r>
      <w:r>
        <w:t xml:space="preserve"> 280</w:t>
      </w:r>
      <w:r>
        <w:t xml:space="preserve"> female and </w:t>
      </w:r>
      <w:r>
        <w:t xml:space="preserve"> 403</w:t>
      </w:r>
      <w:r>
        <w:t xml:space="preserve"> male.</w:t>
      </w:r>
    </w:p>
    <w:p w:rsidR="009E6D61">
      <w:pPr>
        <w:pStyle w:val="ESBodyText0"/>
      </w:pPr>
      <w:r>
        <w:t>14</w:t>
      </w:r>
      <w:r w:rsidR="007567CF">
        <w:t xml:space="preserve"> percent of students had English as an additional language and </w:t>
      </w:r>
      <w:r>
        <w:t>1</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 which takes into account parents' occupations and education.</w:t>
      </w:r>
    </w:p>
    <w:p w:rsidR="009E6D61" w:rsidRPr="001C6AF2">
      <w:pPr>
        <w:pStyle w:val="ESBodyText0"/>
      </w:pPr>
      <w:r w:rsidRPr="001C6AF2">
        <w:t>Possible socio-economic band values are: Low, Low-Medium, Medium and High.</w:t>
      </w:r>
    </w:p>
    <w:p w:rsidR="009E6D61" w:rsidRPr="00B637FF">
      <w:pPr>
        <w:pStyle w:val="ESBodyText0"/>
      </w:pPr>
      <w:r w:rsidRPr="001C6AF2">
        <w:t xml:space="preserve">This school’s socio-economic band value is: </w:t>
      </w:r>
      <w:r>
        <w:t>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2576"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83.1%</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74.2%</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1552"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6856292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73.1%</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61.2%</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874585">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0528" behindDoc="0" locked="0" layoutInCell="1" allowOverlap="1">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75.5%</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69.7%</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75.8%</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9504" behindDoc="0" locked="0" layoutInCell="1" allowOverlap="1">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sidR="00E6201A">
              <w:rPr>
                <w:rFonts w:eastAsia="Times New Roman"/>
                <w:b/>
                <w:bCs/>
                <w:lang w:val="en-AU" w:eastAsia="en-AU"/>
              </w:rPr>
              <w:t>7 to 10</w:t>
            </w:r>
          </w:p>
        </w:tc>
        <w:tc>
          <w:tcPr>
            <w:tcW w:w="1139" w:type="dxa"/>
            <w:vAlign w:val="bottom"/>
          </w:tcPr>
          <w:p w:rsidR="00E346A0" w:rsidRPr="001B1C12" w:rsidP="00BA1967">
            <w:pPr>
              <w:pStyle w:val="ESBodyText0"/>
              <w:jc w:val="cente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71.4%</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58.6%</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66.3%</w:t>
            </w:r>
          </w:p>
        </w:tc>
      </w:tr>
    </w:tbl>
    <w:p w:rsidR="004777FF">
      <w:pPr>
        <w:spacing w:after="0" w:line="240" w:lineRule="auto"/>
      </w:pPr>
    </w:p>
    <w:p w:rsidR="00874585" w:rsidP="001F39DE">
      <w:pPr>
        <w:pStyle w:val="ESHeading30"/>
        <w:spacing w:before="200"/>
      </w:pP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77262A" w:rsidP="0077262A">
      <w:pPr>
        <w:pStyle w:val="ESBodyText0"/>
        <w:spacing w:after="240"/>
        <w:rPr>
          <w:rFonts w:eastAsia="Arial" w:cs="Times New Roman"/>
          <w:color w:val="000000"/>
          <w:szCs w:val="20"/>
        </w:rPr>
      </w:pPr>
      <w:r>
        <w:rPr>
          <w:rFonts w:eastAsia="Arial" w:cs="Times New Roman"/>
          <w:color w:val="000000"/>
          <w:szCs w:val="20"/>
        </w:rPr>
        <w:t>NAPLAN tests were not conducted in 2020.</w:t>
      </w:r>
    </w:p>
    <w:p w:rsidR="00874585">
      <w:pPr>
        <w:spacing w:after="0" w:line="240" w:lineRule="auto"/>
        <w:rPr>
          <w:b/>
          <w:color w:val="000000" w:themeColor="text1"/>
        </w:rPr>
      </w:pPr>
      <w:r>
        <w:br w:type="page"/>
      </w:r>
    </w:p>
    <w:p w:rsidR="00874585" w:rsidP="00874585">
      <w:pPr>
        <w:pStyle w:val="Style1"/>
      </w:pPr>
      <w:r>
        <w:t>ACHIEVEMENT (continued)</w:t>
      </w:r>
    </w:p>
    <w:p w:rsidR="003157E3" w:rsidP="00874585">
      <w:pPr>
        <w:pStyle w:val="ESHeading30"/>
      </w:pPr>
      <w:r>
        <w:t>Victorian Certificate of Education (VCE)</w:t>
      </w:r>
    </w:p>
    <w:p w:rsidR="003157E3" w:rsidP="003157E3">
      <w:pPr>
        <w:pStyle w:val="ESBodyText0"/>
      </w:pPr>
      <w:r>
        <w:t>Mean study score from all VCE subjects undertaken by students at this school. This includes all Unit 3 and 4 studies (including those completed in Year 11) and any VCE VET studies awarded a study score.</w:t>
      </w:r>
    </w:p>
    <w:p w:rsidR="003157E3" w:rsidP="005B6BD9">
      <w:pPr>
        <w:pStyle w:val="ESBodyText0"/>
      </w:pPr>
      <w:r>
        <w:t>The maximum student study score is 50 and the state-wide mean (including Government and non-Government schools) is set at 30.</w:t>
      </w:r>
    </w:p>
    <w:p w:rsidR="003157E3" w:rsidP="005B6BD9">
      <w:pPr>
        <w:pStyle w:val="ESBodyText0"/>
      </w:pPr>
      <w:r>
        <w:rPr>
          <w:noProof/>
        </w:rPr>
        <w:drawing>
          <wp:anchor distT="0" distB="0" distL="114300" distR="114300" simplePos="0" relativeHeight="251668480" behindDoc="0" locked="0" layoutInCell="1" allowOverlap="1">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4"/>
        <w:gridCol w:w="112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B20B33" w:rsidRPr="00B20B33" w:rsidP="006A4059">
            <w:pPr>
              <w:pStyle w:val="ESBodyText0"/>
              <w:spacing w:line="240" w:lineRule="auto"/>
              <w:rPr>
                <w:b/>
                <w:bCs/>
              </w:rPr>
            </w:pPr>
            <w:r w:rsidRPr="00B20B33">
              <w:rPr>
                <w:b/>
                <w:bCs/>
              </w:rPr>
              <w:t>Victorian Certificate of Education</w:t>
            </w:r>
          </w:p>
        </w:tc>
        <w:tc>
          <w:tcPr>
            <w:tcW w:w="1134" w:type="dxa"/>
            <w:vAlign w:val="bottom"/>
          </w:tcPr>
          <w:p w:rsidR="00B20B33" w:rsidP="00B20B33">
            <w:pPr>
              <w:pStyle w:val="ESBodyText0"/>
              <w:spacing w:line="240" w:lineRule="auto"/>
              <w:jc w:val="center"/>
            </w:pPr>
            <w:r>
              <w:t>Latest year (2020)</w:t>
            </w:r>
          </w:p>
        </w:tc>
        <w:tc>
          <w:tcPr>
            <w:tcW w:w="1129" w:type="dxa"/>
            <w:vAlign w:val="bottom"/>
          </w:tcPr>
          <w:p w:rsidR="00B20B33" w:rsidP="00B20B33">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24.8</w:t>
            </w:r>
          </w:p>
        </w:tc>
        <w:tc>
          <w:tcPr>
            <w:tcW w:w="112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25.1</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26.5</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rsidR="00B20B33" w:rsidRPr="00B20B33" w:rsidP="00B20B33">
            <w:pPr>
              <w:pStyle w:val="ESBodyText0"/>
              <w:spacing w:line="240" w:lineRule="auto"/>
              <w:jc w:val="center"/>
              <w:rPr>
                <w:color w:val="FFFFFF" w:themeColor="background1"/>
              </w:rPr>
            </w:pPr>
            <w:r>
              <w:rPr>
                <w:color w:val="FFFFFF" w:themeColor="background1"/>
              </w:rPr>
              <w:t>26.6</w:t>
            </w:r>
          </w:p>
        </w:tc>
      </w:tr>
      <w:tr w:rsidTr="00301A6C">
        <w:tblPrEx>
          <w:tblW w:w="0" w:type="auto"/>
          <w:tblLook w:val="04A0"/>
        </w:tblPrEx>
        <w:trPr>
          <w:trHeight w:hRule="exact" w:val="567"/>
        </w:trPr>
        <w:tc>
          <w:tcPr>
            <w:tcW w:w="2835" w:type="dxa"/>
            <w:tcMar>
              <w:top w:w="57" w:type="dxa"/>
            </w:tcMar>
            <w:vAlign w:val="center"/>
          </w:tcPr>
          <w:p w:rsidR="00B20B33"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rsidR="00B20B33" w:rsidP="00B20B33">
            <w:pPr>
              <w:pStyle w:val="ESBodyText0"/>
              <w:spacing w:line="240" w:lineRule="auto"/>
              <w:jc w:val="center"/>
            </w:pPr>
            <w:r>
              <w:t>28.8</w:t>
            </w:r>
          </w:p>
        </w:tc>
      </w:tr>
    </w:tbl>
    <w:p w:rsidR="00B20B33" w:rsidP="006A4059">
      <w:pPr>
        <w:pStyle w:val="ESBodyText0"/>
        <w:spacing w:line="240" w:lineRule="auto"/>
      </w:pPr>
    </w:p>
    <w:p w:rsidR="00B20B33" w:rsidP="006A4059">
      <w:pPr>
        <w:pStyle w:val="ESBodyText0"/>
        <w:spacing w:line="240" w:lineRule="auto"/>
      </w:pPr>
    </w:p>
    <w:p w:rsidR="005B6BD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4"/>
        <w:gridCol w:w="2438"/>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98%</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Year 12 students in 2020 undertaking at least one Vocational Education and Training (VET) unit of 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37%</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88%</w:t>
            </w:r>
          </w:p>
        </w:tc>
      </w:tr>
      <w:tr w:rsidTr="00301A6C">
        <w:tblPrEx>
          <w:tblW w:w="0" w:type="auto"/>
          <w:tblLook w:val="04A0"/>
        </w:tblPrEx>
        <w:trPr>
          <w:trHeight w:hRule="exact" w:val="567"/>
        </w:trPr>
        <w:tc>
          <w:tcPr>
            <w:tcW w:w="6294" w:type="dxa"/>
            <w:tcMar>
              <w:top w:w="57" w:type="dxa"/>
            </w:tcMar>
            <w:vAlign w:val="center"/>
          </w:tcPr>
          <w:p w:rsidR="00B20B33"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rsidR="00B20B33" w:rsidP="00B20B33">
            <w:pPr>
              <w:pStyle w:val="ESBodyText0"/>
              <w:spacing w:line="240" w:lineRule="auto"/>
              <w:jc w:val="center"/>
            </w:pPr>
            <w:r>
              <w:t xml:space="preserve"> 96%</w:t>
            </w:r>
          </w:p>
        </w:tc>
      </w:tr>
    </w:tbl>
    <w:p w:rsidR="005B6BD9" w:rsidP="006A4059">
      <w:pPr>
        <w:pStyle w:val="ESBodyText0"/>
        <w:spacing w:line="240" w:lineRule="auto"/>
      </w:pPr>
    </w:p>
    <w:p w:rsidR="005B6BD9">
      <w:pPr>
        <w:spacing w:after="0" w:line="240" w:lineRule="auto"/>
      </w:pPr>
    </w:p>
    <w:p w:rsidR="009E6D61" w:rsidP="00B637FF">
      <w:pPr>
        <w:pStyle w:val="Style1"/>
      </w:pPr>
      <w:r>
        <w:t>ENGAGEMENT</w:t>
      </w:r>
    </w:p>
    <w:p w:rsidR="00666BAD"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Average Number of Student Absence Days</w:t>
      </w:r>
    </w:p>
    <w:p w:rsidR="001016C0" w:rsidP="00A55216">
      <w:pPr>
        <w:pStyle w:val="ESBodyText0"/>
        <w:spacing w:after="0"/>
      </w:pPr>
      <w:r>
        <w:t>Absence from school can impact on students’ learning.</w:t>
      </w:r>
      <w:r w:rsidR="00731F19">
        <w:t xml:space="preserve">  </w:t>
      </w:r>
      <w:r>
        <w:t>Common reasons for non-attendance include illness and extended family holidays.</w:t>
      </w:r>
      <w:r w:rsidR="00A55216">
        <w:t xml:space="preserve"> </w:t>
      </w:r>
      <w:r w:rsidRPr="00046522" w:rsidR="00A55216">
        <w:t>Absence and attendance data</w:t>
      </w:r>
      <w:r w:rsidR="00A55216">
        <w:t xml:space="preserve"> in 2020</w:t>
      </w:r>
      <w:r w:rsidRPr="00046522" w:rsidR="00A55216">
        <w:t xml:space="preserve"> may have been influenced by local processes and procedures adopted in response to remote and flexible learning.</w:t>
      </w:r>
    </w:p>
    <w:p w:rsidR="002E45F9">
      <w:pPr>
        <w:pStyle w:val="ESBodyText0"/>
      </w:pPr>
      <w:r>
        <w:rPr>
          <w:noProof/>
        </w:rPr>
        <w:drawing>
          <wp:anchor distT="0" distB="0" distL="114300" distR="114300" simplePos="0" relativeHeight="251667456" behindDoc="0" locked="0" layoutInCell="1" allowOverlap="1">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A255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8A2551" w:rsidRPr="00B20B33"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rsidR="008A2551" w:rsidP="00BA1967">
            <w:pPr>
              <w:pStyle w:val="ESBodyText0"/>
              <w:spacing w:line="240" w:lineRule="auto"/>
              <w:jc w:val="center"/>
            </w:pPr>
            <w:r>
              <w:t>Latest year (2020)</w:t>
            </w:r>
          </w:p>
        </w:tc>
        <w:tc>
          <w:tcPr>
            <w:tcW w:w="1132" w:type="dxa"/>
            <w:vAlign w:val="bottom"/>
          </w:tcPr>
          <w:p w:rsidR="008A2551"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14.8</w:t>
            </w:r>
          </w:p>
        </w:tc>
        <w:tc>
          <w:tcPr>
            <w:tcW w:w="1132" w:type="dxa"/>
            <w:tcBorders>
              <w:bottom w:val="single" w:sz="4" w:space="0" w:color="FFFFFF" w:themeColor="background1"/>
            </w:tcBorders>
            <w:shd w:val="clear" w:color="auto" w:fill="FFC000"/>
            <w:tcMar>
              <w:top w:w="57" w:type="dxa"/>
            </w:tcMar>
            <w:vAlign w:val="center"/>
          </w:tcPr>
          <w:p w:rsidR="008A2551" w:rsidP="00BA1967">
            <w:pPr>
              <w:pStyle w:val="ESBodyText0"/>
              <w:spacing w:line="240" w:lineRule="auto"/>
              <w:jc w:val="center"/>
            </w:pPr>
            <w:r>
              <w:t>17.9</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19.6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8A2551" w:rsidRPr="00B20B33" w:rsidP="00BA1967">
            <w:pPr>
              <w:pStyle w:val="ESBodyText0"/>
              <w:spacing w:line="240" w:lineRule="auto"/>
              <w:jc w:val="center"/>
              <w:rPr>
                <w:color w:val="FFFFFF" w:themeColor="background1"/>
              </w:rPr>
            </w:pPr>
            <w:r>
              <w:rPr>
                <w:color w:val="FFFFFF" w:themeColor="background1"/>
              </w:rPr>
              <w:t>21.5</w:t>
            </w:r>
          </w:p>
        </w:tc>
      </w:tr>
      <w:tr w:rsidTr="00301A6C">
        <w:tblPrEx>
          <w:tblW w:w="0" w:type="auto"/>
          <w:tblLook w:val="04A0"/>
        </w:tblPrEx>
        <w:trPr>
          <w:trHeight w:hRule="exact" w:val="567"/>
        </w:trPr>
        <w:tc>
          <w:tcPr>
            <w:tcW w:w="2835" w:type="dxa"/>
            <w:tcMar>
              <w:top w:w="57" w:type="dxa"/>
            </w:tcMar>
            <w:vAlign w:val="center"/>
          </w:tcPr>
          <w:p w:rsidR="008A255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rsidR="008A2551" w:rsidP="00BA1967">
            <w:pPr>
              <w:pStyle w:val="ESBodyText0"/>
              <w:spacing w:line="240" w:lineRule="auto"/>
              <w:jc w:val="center"/>
            </w:pPr>
            <w:r>
              <w:t>19.2</w:t>
            </w:r>
          </w:p>
        </w:tc>
      </w:tr>
    </w:tbl>
    <w:p w:rsidR="002E45F9">
      <w:pPr>
        <w:pStyle w:val="ESBodyText0"/>
      </w:pPr>
    </w:p>
    <w:p w:rsidR="00874585">
      <w:pPr>
        <w:spacing w:after="0" w:line="240" w:lineRule="auto"/>
      </w:pPr>
      <w:r>
        <w:br w:type="page"/>
      </w:r>
    </w:p>
    <w:p w:rsidR="00874585" w:rsidP="00874585">
      <w:pPr>
        <w:pStyle w:val="Style1"/>
        <w:spacing w:after="240"/>
      </w:pPr>
      <w:r>
        <w:t>ENGAGEMENT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275"/>
        <w:gridCol w:w="1275"/>
        <w:gridCol w:w="1275"/>
        <w:gridCol w:w="1275"/>
        <w:gridCol w:w="1275"/>
        <w:gridCol w:w="1275"/>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874585" w:rsidP="00BA1967">
            <w:pPr>
              <w:pStyle w:val="ESBodyText0"/>
            </w:pPr>
            <w:r w:rsidRPr="006F4FB2">
              <w:rPr>
                <w:b/>
                <w:bCs/>
              </w:rPr>
              <w:t>Attendance Rate</w:t>
            </w:r>
            <w:r>
              <w:rPr>
                <w:b/>
                <w:bCs/>
              </w:rPr>
              <w:t xml:space="preserve"> (latest year)</w:t>
            </w: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c>
          <w:tcPr>
            <w:tcW w:w="1275" w:type="dxa"/>
            <w:vAlign w:val="bottom"/>
          </w:tcPr>
          <w:p w:rsidR="00874585" w:rsidP="00BA1967">
            <w:pPr>
              <w:pStyle w:val="ESBodyText0"/>
              <w:jc w:val="center"/>
            </w:pPr>
          </w:p>
        </w:tc>
      </w:tr>
      <w:tr w:rsidTr="00E163B8">
        <w:tblPrEx>
          <w:tblW w:w="0" w:type="auto"/>
          <w:tblLook w:val="04A0"/>
        </w:tblPrEx>
        <w:tc>
          <w:tcPr>
            <w:tcW w:w="2835" w:type="dxa"/>
            <w:vAlign w:val="bottom"/>
          </w:tcPr>
          <w:p w:rsidR="006F4FB2" w:rsidP="00BA1967">
            <w:pPr>
              <w:pStyle w:val="ESBodyText0"/>
            </w:pPr>
          </w:p>
        </w:tc>
        <w:tc>
          <w:tcPr>
            <w:tcW w:w="1275" w:type="dxa"/>
            <w:vAlign w:val="bottom"/>
          </w:tcPr>
          <w:p w:rsidR="006F4FB2" w:rsidP="00BA1967">
            <w:pPr>
              <w:pStyle w:val="ESBodyText0"/>
              <w:jc w:val="center"/>
            </w:pPr>
            <w:r>
              <w:t>Year 7</w:t>
            </w:r>
          </w:p>
        </w:tc>
        <w:tc>
          <w:tcPr>
            <w:tcW w:w="1275" w:type="dxa"/>
            <w:vAlign w:val="bottom"/>
          </w:tcPr>
          <w:p w:rsidR="006F4FB2" w:rsidP="00BA1967">
            <w:pPr>
              <w:pStyle w:val="ESBodyText0"/>
              <w:jc w:val="center"/>
            </w:pPr>
            <w:r>
              <w:t>Year 8</w:t>
            </w:r>
          </w:p>
        </w:tc>
        <w:tc>
          <w:tcPr>
            <w:tcW w:w="1275" w:type="dxa"/>
            <w:vAlign w:val="bottom"/>
          </w:tcPr>
          <w:p w:rsidR="006F4FB2" w:rsidP="00BA1967">
            <w:pPr>
              <w:pStyle w:val="ESBodyText0"/>
              <w:jc w:val="center"/>
            </w:pPr>
            <w:r>
              <w:t>Year 9</w:t>
            </w:r>
          </w:p>
        </w:tc>
        <w:tc>
          <w:tcPr>
            <w:tcW w:w="1275" w:type="dxa"/>
            <w:vAlign w:val="bottom"/>
          </w:tcPr>
          <w:p w:rsidR="006F4FB2" w:rsidP="00BA1967">
            <w:pPr>
              <w:pStyle w:val="ESBodyText0"/>
              <w:jc w:val="center"/>
            </w:pPr>
            <w:r>
              <w:t>Year 10</w:t>
            </w:r>
          </w:p>
        </w:tc>
        <w:tc>
          <w:tcPr>
            <w:tcW w:w="1275" w:type="dxa"/>
            <w:vAlign w:val="bottom"/>
          </w:tcPr>
          <w:p w:rsidR="006F4FB2" w:rsidP="00BA1967">
            <w:pPr>
              <w:pStyle w:val="ESBodyText0"/>
              <w:jc w:val="center"/>
            </w:pPr>
            <w:r>
              <w:t>Year 11</w:t>
            </w:r>
          </w:p>
        </w:tc>
        <w:tc>
          <w:tcPr>
            <w:tcW w:w="1275" w:type="dxa"/>
            <w:vAlign w:val="bottom"/>
          </w:tcPr>
          <w:p w:rsidR="006F4FB2" w:rsidP="00BA1967">
            <w:pPr>
              <w:pStyle w:val="ESBodyText0"/>
              <w:jc w:val="center"/>
            </w:pPr>
            <w:r>
              <w:t>Year 12</w:t>
            </w:r>
          </w:p>
        </w:tc>
      </w:tr>
      <w:tr w:rsidTr="00E163B8">
        <w:tblPrEx>
          <w:tblW w:w="0" w:type="auto"/>
          <w:tblLook w:val="04A0"/>
        </w:tblPrEx>
        <w:tc>
          <w:tcPr>
            <w:tcW w:w="2835" w:type="dxa"/>
          </w:tcPr>
          <w:p w:rsidR="006F4FB2" w:rsidP="00BA1967">
            <w:pPr>
              <w:pStyle w:val="ESBodyText0"/>
            </w:pPr>
            <w:r>
              <w:t>Attendance Rate by year level (2020):</w:t>
            </w:r>
          </w:p>
        </w:tc>
        <w:tc>
          <w:tcPr>
            <w:tcW w:w="1275" w:type="dxa"/>
            <w:shd w:val="clear" w:color="auto" w:fill="FFC000"/>
            <w:tcMar>
              <w:top w:w="57" w:type="dxa"/>
            </w:tcMar>
            <w:vAlign w:val="center"/>
          </w:tcPr>
          <w:p w:rsidR="006F4FB2" w:rsidP="00BA1967">
            <w:pPr>
              <w:pStyle w:val="ESBodyText0"/>
              <w:jc w:val="center"/>
            </w:pPr>
            <w:r>
              <w:t>94%</w:t>
            </w:r>
          </w:p>
        </w:tc>
        <w:tc>
          <w:tcPr>
            <w:tcW w:w="1275" w:type="dxa"/>
            <w:shd w:val="clear" w:color="auto" w:fill="FFC000"/>
            <w:tcMar>
              <w:top w:w="57" w:type="dxa"/>
            </w:tcMar>
            <w:vAlign w:val="center"/>
          </w:tcPr>
          <w:p w:rsidR="006F4FB2" w:rsidP="00BA1967">
            <w:pPr>
              <w:pStyle w:val="ESBodyText0"/>
              <w:jc w:val="center"/>
            </w:pPr>
            <w:r>
              <w:t>91%</w:t>
            </w:r>
          </w:p>
        </w:tc>
        <w:tc>
          <w:tcPr>
            <w:tcW w:w="1275" w:type="dxa"/>
            <w:shd w:val="clear" w:color="auto" w:fill="FFC000"/>
            <w:tcMar>
              <w:top w:w="57" w:type="dxa"/>
            </w:tcMar>
            <w:vAlign w:val="center"/>
          </w:tcPr>
          <w:p w:rsidR="006F4FB2" w:rsidP="00BA1967">
            <w:pPr>
              <w:pStyle w:val="ESBodyText0"/>
              <w:jc w:val="center"/>
            </w:pPr>
            <w:r>
              <w:t>90%</w:t>
            </w:r>
          </w:p>
        </w:tc>
        <w:tc>
          <w:tcPr>
            <w:tcW w:w="1275" w:type="dxa"/>
            <w:shd w:val="clear" w:color="auto" w:fill="FFC000"/>
            <w:tcMar>
              <w:top w:w="57" w:type="dxa"/>
            </w:tcMar>
            <w:vAlign w:val="center"/>
          </w:tcPr>
          <w:p w:rsidR="006F4FB2" w:rsidP="00BA1967">
            <w:pPr>
              <w:pStyle w:val="ESBodyText0"/>
              <w:jc w:val="center"/>
            </w:pPr>
            <w:r>
              <w:t>93%</w:t>
            </w:r>
          </w:p>
        </w:tc>
        <w:tc>
          <w:tcPr>
            <w:tcW w:w="1275" w:type="dxa"/>
            <w:shd w:val="clear" w:color="auto" w:fill="FFC000"/>
            <w:tcMar>
              <w:top w:w="57" w:type="dxa"/>
            </w:tcMar>
            <w:vAlign w:val="center"/>
          </w:tcPr>
          <w:p w:rsidR="006F4FB2" w:rsidP="00BA1967">
            <w:pPr>
              <w:pStyle w:val="ESBodyText0"/>
              <w:jc w:val="center"/>
            </w:pPr>
            <w:r>
              <w:t>93%</w:t>
            </w:r>
          </w:p>
        </w:tc>
        <w:tc>
          <w:tcPr>
            <w:tcW w:w="1275" w:type="dxa"/>
            <w:shd w:val="clear" w:color="auto" w:fill="FFC000"/>
            <w:tcMar>
              <w:top w:w="57" w:type="dxa"/>
            </w:tcMar>
            <w:vAlign w:val="center"/>
          </w:tcPr>
          <w:p w:rsidR="006F4FB2" w:rsidP="00BA1967">
            <w:pPr>
              <w:pStyle w:val="ESBodyText0"/>
              <w:jc w:val="center"/>
            </w:pPr>
            <w:r>
              <w:t>94%</w:t>
            </w:r>
          </w:p>
        </w:tc>
      </w:tr>
    </w:tbl>
    <w:p w:rsidR="008A2551">
      <w:pPr>
        <w:pStyle w:val="ESBodyText0"/>
      </w:pPr>
    </w:p>
    <w:p w:rsidR="006A4059" w:rsidP="006A4059">
      <w:pPr>
        <w:pStyle w:val="ESBodyText0"/>
      </w:pPr>
    </w:p>
    <w:p w:rsidR="009E233C" w:rsidP="009E233C">
      <w:pPr>
        <w:pStyle w:val="ESHeading30"/>
      </w:pPr>
      <w:r>
        <w:t>Student Retention</w:t>
      </w:r>
    </w:p>
    <w:p w:rsidR="009E233C" w:rsidP="009E233C">
      <w:pPr>
        <w:pStyle w:val="ESBodyText0"/>
      </w:pPr>
      <w:r>
        <w:t xml:space="preserve">Percentage of </w:t>
      </w:r>
      <w:r w:rsidR="005A74BC">
        <w:t xml:space="preserve">Year 7 </w:t>
      </w:r>
      <w:r>
        <w:t>students</w:t>
      </w:r>
      <w:r w:rsidR="005A74BC">
        <w:t xml:space="preserve"> </w:t>
      </w:r>
      <w:r>
        <w:t>who remain at the school through to Year 10.</w:t>
      </w:r>
    </w:p>
    <w:p w:rsidR="006F4FB2" w:rsidP="009E233C">
      <w:pPr>
        <w:pStyle w:val="ESBodyText0"/>
      </w:pPr>
      <w:r>
        <w:rPr>
          <w:noProof/>
        </w:rPr>
        <w:drawing>
          <wp:anchor distT="0" distB="0" distL="114300" distR="114300" simplePos="0" relativeHeight="251666432" behindDoc="0" locked="0" layoutInCell="1" allowOverlap="1">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1063"/>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vAlign w:val="bottom"/>
          </w:tcPr>
          <w:p w:rsidR="006F4FB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sidR="000A7BC6">
              <w:rPr>
                <w:rFonts w:eastAsia="Times New Roman"/>
                <w:b/>
                <w:bCs/>
                <w:color w:val="000000"/>
                <w:lang w:val="en-AU" w:eastAsia="en-AU"/>
              </w:rPr>
              <w:t>Retention</w:t>
            </w:r>
          </w:p>
          <w:p w:rsidR="006F4FB2" w:rsidRPr="00B20B33" w:rsidP="00BA1967">
            <w:pPr>
              <w:pStyle w:val="ESBodyText0"/>
              <w:spacing w:line="240" w:lineRule="auto"/>
              <w:rPr>
                <w:b/>
                <w:bCs/>
              </w:rPr>
            </w:pPr>
            <w:r>
              <w:rPr>
                <w:rFonts w:eastAsia="Times New Roman"/>
                <w:b/>
                <w:bCs/>
                <w:color w:val="000000"/>
                <w:lang w:val="en-AU" w:eastAsia="en-AU"/>
              </w:rPr>
              <w:t>Year</w:t>
            </w:r>
            <w:r w:rsidR="000A7BC6">
              <w:rPr>
                <w:rFonts w:eastAsia="Times New Roman"/>
                <w:b/>
                <w:bCs/>
                <w:color w:val="000000"/>
                <w:lang w:val="en-AU" w:eastAsia="en-AU"/>
              </w:rPr>
              <w:t xml:space="preserve"> 7 to Year 10</w:t>
            </w:r>
          </w:p>
        </w:tc>
        <w:tc>
          <w:tcPr>
            <w:tcW w:w="1134" w:type="dxa"/>
            <w:vAlign w:val="bottom"/>
          </w:tcPr>
          <w:p w:rsidR="006F4FB2" w:rsidP="00BA1967">
            <w:pPr>
              <w:pStyle w:val="ESBodyText0"/>
              <w:spacing w:line="240" w:lineRule="auto"/>
              <w:jc w:val="center"/>
            </w:pPr>
            <w:r>
              <w:t>Latest year (2020)</w:t>
            </w:r>
          </w:p>
        </w:tc>
        <w:tc>
          <w:tcPr>
            <w:tcW w:w="1063" w:type="dxa"/>
            <w:vAlign w:val="bottom"/>
          </w:tcPr>
          <w:p w:rsidR="006F4FB2" w:rsidP="00BA1967">
            <w:pPr>
              <w:pStyle w:val="ESBodyText0"/>
              <w:spacing w:line="240" w:lineRule="auto"/>
              <w:jc w:val="center"/>
            </w:pPr>
            <w:r>
              <w:t>4-year average</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 xml:space="preserve">School </w:t>
            </w:r>
            <w:r w:rsidR="000A7BC6">
              <w:t>percent</w:t>
            </w:r>
            <w:r>
              <w:t xml:space="preserve"> of </w:t>
            </w:r>
            <w:r w:rsidR="000A7BC6">
              <w:t>students retained:</w:t>
            </w:r>
          </w:p>
        </w:tc>
        <w:tc>
          <w:tcPr>
            <w:tcW w:w="1134"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65.3%</w:t>
            </w:r>
          </w:p>
        </w:tc>
        <w:tc>
          <w:tcPr>
            <w:tcW w:w="1063" w:type="dxa"/>
            <w:tcBorders>
              <w:bottom w:val="single" w:sz="4" w:space="0" w:color="FFFFFF" w:themeColor="background1"/>
            </w:tcBorders>
            <w:shd w:val="clear" w:color="auto" w:fill="FFC000"/>
            <w:tcMar>
              <w:top w:w="57" w:type="dxa"/>
            </w:tcMar>
            <w:vAlign w:val="center"/>
          </w:tcPr>
          <w:p w:rsidR="006F4FB2" w:rsidP="00BA1967">
            <w:pPr>
              <w:pStyle w:val="ESBodyText0"/>
              <w:spacing w:line="240" w:lineRule="auto"/>
              <w:jc w:val="center"/>
            </w:pPr>
            <w:r>
              <w:t>64.3%</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73.4%</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rsidR="006F4FB2" w:rsidRPr="00B20B33" w:rsidP="00BA1967">
            <w:pPr>
              <w:pStyle w:val="ESBodyText0"/>
              <w:spacing w:line="240" w:lineRule="auto"/>
              <w:jc w:val="center"/>
              <w:rPr>
                <w:color w:val="FFFFFF" w:themeColor="background1"/>
              </w:rPr>
            </w:pPr>
            <w:r>
              <w:rPr>
                <w:color w:val="FFFFFF" w:themeColor="background1"/>
              </w:rPr>
              <w:t>73.2%</w:t>
            </w:r>
          </w:p>
        </w:tc>
      </w:tr>
      <w:tr w:rsidTr="00301A6C">
        <w:tblPrEx>
          <w:tblW w:w="0" w:type="auto"/>
          <w:tblLook w:val="04A0"/>
        </w:tblPrEx>
        <w:trPr>
          <w:trHeight w:hRule="exact" w:val="567"/>
        </w:trPr>
        <w:tc>
          <w:tcPr>
            <w:tcW w:w="3119" w:type="dxa"/>
            <w:tcMar>
              <w:top w:w="57" w:type="dxa"/>
            </w:tcMar>
            <w:vAlign w:val="center"/>
          </w:tcPr>
          <w:p w:rsidR="006F4FB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rsidR="006F4FB2" w:rsidP="00BA1967">
            <w:pPr>
              <w:pStyle w:val="ESBodyText0"/>
              <w:spacing w:line="240" w:lineRule="auto"/>
              <w:jc w:val="center"/>
            </w:pPr>
            <w:r>
              <w:t>72.9%</w:t>
            </w:r>
          </w:p>
        </w:tc>
      </w:tr>
    </w:tbl>
    <w:p w:rsidR="006F4FB2" w:rsidP="009E233C">
      <w:pPr>
        <w:pStyle w:val="ESBodyText0"/>
      </w:pPr>
    </w:p>
    <w:p w:rsidR="006F4FB2" w:rsidP="009E233C">
      <w:pPr>
        <w:pStyle w:val="ESBodyText0"/>
      </w:pPr>
    </w:p>
    <w:p w:rsidR="009E233C" w:rsidP="009E233C">
      <w:pPr>
        <w:pStyle w:val="ESBodyText0"/>
      </w:pPr>
    </w:p>
    <w:p w:rsidR="009E233C" w:rsidP="009E233C">
      <w:pPr>
        <w:pStyle w:val="ESHeading30"/>
      </w:pPr>
      <w:r>
        <w:t>Students exiting to further studies or full-time employment</w:t>
      </w:r>
    </w:p>
    <w:p w:rsidR="009E233C" w:rsidP="009E233C">
      <w:pPr>
        <w:pStyle w:val="ESBodyText0"/>
      </w:pPr>
      <w:r>
        <w:t xml:space="preserve">Percentage of students from </w:t>
      </w:r>
      <w:r w:rsidR="005A74BC">
        <w:t>Y</w:t>
      </w:r>
      <w:r>
        <w:t>ear</w:t>
      </w:r>
      <w:r w:rsidR="005A74BC">
        <w:t>s</w:t>
      </w:r>
      <w:r>
        <w:t xml:space="preserve"> 10 to 12 going on to further studies or full-time employment.</w:t>
      </w:r>
    </w:p>
    <w:p w:rsidR="002B731B" w:rsidP="002B731B">
      <w:pPr>
        <w:pStyle w:val="ESBodyText0"/>
        <w:spacing w:after="0"/>
      </w:pPr>
      <w:r>
        <w:t>Note:</w:t>
      </w:r>
      <w:r>
        <w:tab/>
      </w:r>
      <w:r>
        <w:t>This measure refers to data from the previous calendar year.</w:t>
      </w:r>
    </w:p>
    <w:p w:rsidR="009E233C" w:rsidP="002B731B">
      <w:pPr>
        <w:pStyle w:val="ESBodyText0"/>
        <w:ind w:firstLine="720"/>
      </w:pPr>
      <w:r>
        <w:t>Data excludes destinations recorded as 'Unknown'.</w:t>
      </w:r>
    </w:p>
    <w:p w:rsidR="00D1164B" w:rsidP="009E233C">
      <w:pPr>
        <w:pStyle w:val="ESBodyText0"/>
      </w:pPr>
      <w:r>
        <w:rPr>
          <w:noProof/>
        </w:rPr>
        <w:drawing>
          <wp:anchor distT="0" distB="0" distL="114300" distR="114300" simplePos="0" relativeHeight="251664384" behindDoc="0" locked="0" layoutInCell="1" allowOverlap="1">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vAlign w:val="bottom"/>
          </w:tcPr>
          <w:p w:rsidR="00D1164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rsidR="00D1164B" w:rsidRPr="00B20B33"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rsidR="00D1164B" w:rsidP="00BA1967">
            <w:pPr>
              <w:pStyle w:val="ESBodyText0"/>
              <w:spacing w:line="240" w:lineRule="auto"/>
              <w:jc w:val="center"/>
            </w:pPr>
            <w:r>
              <w:t>Latest year (20</w:t>
            </w:r>
            <w:r w:rsidR="00271DCE">
              <w:t>19</w:t>
            </w:r>
            <w:r>
              <w:t>)</w:t>
            </w:r>
          </w:p>
        </w:tc>
        <w:tc>
          <w:tcPr>
            <w:tcW w:w="1060" w:type="dxa"/>
            <w:vAlign w:val="bottom"/>
          </w:tcPr>
          <w:p w:rsidR="00D1164B"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93.6%</w:t>
            </w:r>
          </w:p>
        </w:tc>
        <w:tc>
          <w:tcPr>
            <w:tcW w:w="1060" w:type="dxa"/>
            <w:tcBorders>
              <w:bottom w:val="single" w:sz="4" w:space="0" w:color="FFFFFF" w:themeColor="background1"/>
            </w:tcBorders>
            <w:shd w:val="clear" w:color="auto" w:fill="FFC000"/>
            <w:tcMar>
              <w:top w:w="57" w:type="dxa"/>
            </w:tcMar>
            <w:vAlign w:val="center"/>
          </w:tcPr>
          <w:p w:rsidR="00D1164B" w:rsidP="00BA1967">
            <w:pPr>
              <w:pStyle w:val="ESBodyText0"/>
              <w:spacing w:line="240" w:lineRule="auto"/>
              <w:jc w:val="center"/>
            </w:pPr>
            <w:r>
              <w:t>94.9%</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85.3%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D1164B" w:rsidRPr="00B20B33" w:rsidP="00BA1967">
            <w:pPr>
              <w:pStyle w:val="ESBodyText0"/>
              <w:spacing w:line="240" w:lineRule="auto"/>
              <w:jc w:val="center"/>
              <w:rPr>
                <w:color w:val="FFFFFF" w:themeColor="background1"/>
              </w:rPr>
            </w:pPr>
            <w:r>
              <w:rPr>
                <w:color w:val="FFFFFF" w:themeColor="background1"/>
              </w:rPr>
              <w:t>87.2%</w:t>
            </w:r>
          </w:p>
        </w:tc>
      </w:tr>
      <w:tr w:rsidTr="00301A6C">
        <w:tblPrEx>
          <w:tblW w:w="0" w:type="auto"/>
          <w:tblLayout w:type="fixed"/>
          <w:tblLook w:val="04A0"/>
        </w:tblPrEx>
        <w:trPr>
          <w:trHeight w:hRule="exact" w:val="567"/>
        </w:trPr>
        <w:tc>
          <w:tcPr>
            <w:tcW w:w="3119" w:type="dxa"/>
            <w:tcMar>
              <w:top w:w="57" w:type="dxa"/>
            </w:tcMar>
            <w:vAlign w:val="center"/>
          </w:tcPr>
          <w:p w:rsidR="00D1164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rsidR="00D1164B" w:rsidP="00BA1967">
            <w:pPr>
              <w:pStyle w:val="ESBodyText0"/>
              <w:spacing w:line="240" w:lineRule="auto"/>
              <w:jc w:val="center"/>
            </w:pPr>
            <w:r>
              <w:t>89.1%</w:t>
            </w:r>
          </w:p>
        </w:tc>
      </w:tr>
    </w:tbl>
    <w:p w:rsidR="00D1164B" w:rsidP="009E233C">
      <w:pPr>
        <w:pStyle w:val="ESBodyText0"/>
      </w:pPr>
    </w:p>
    <w:p w:rsidR="00D1164B" w:rsidP="009E233C">
      <w:pPr>
        <w:pStyle w:val="ESBodyText0"/>
      </w:pPr>
    </w:p>
    <w:p w:rsidR="00F75E7A" w:rsidRPr="00F75E7A">
      <w:pPr>
        <w:spacing w:after="0" w:line="240" w:lineRule="auto"/>
        <w:rPr>
          <w:rFonts w:eastAsiaTheme="majorEastAsia" w:cstheme="majorBidi"/>
          <w:szCs w:val="14"/>
        </w:rPr>
      </w:pPr>
      <w:r w:rsidRPr="00F75E7A">
        <w:br w:type="page"/>
      </w:r>
    </w:p>
    <w:p w:rsidR="009E6D61" w:rsidP="00D4348E">
      <w:pPr>
        <w:pStyle w:val="Style1"/>
      </w:pPr>
      <w:r>
        <w:t>WELL</w:t>
      </w:r>
      <w:r w:rsidR="00D4348E">
        <w:t>BEING</w:t>
      </w:r>
    </w:p>
    <w:p w:rsidR="006A3AB8" w:rsidP="00874585">
      <w:pPr>
        <w:pStyle w:val="ESBodyText0"/>
        <w:spacing w:before="240" w:line="240" w:lineRule="auto"/>
        <w:ind w:left="567" w:hanging="567"/>
        <w:rPr>
          <w:b/>
          <w:i/>
        </w:rPr>
      </w:pPr>
      <w:r>
        <w:rPr>
          <w:b/>
          <w:i/>
        </w:rPr>
        <w:t>Key:</w:t>
      </w:r>
      <w:r>
        <w:rPr>
          <w:b/>
          <w:i/>
        </w:rPr>
        <w:tab/>
      </w:r>
      <w:r w:rsidR="000B5315">
        <w:rPr>
          <w:b/>
          <w:i/>
        </w:rPr>
        <w:t>‘</w:t>
      </w:r>
      <w:r>
        <w:rPr>
          <w:b/>
          <w:i/>
        </w:rPr>
        <w:t>Similar Schools</w:t>
      </w:r>
      <w:r w:rsidR="000B5315">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P="00874585">
      <w:pPr>
        <w:pStyle w:val="ESHeading3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4F0C48">
      <w:pPr>
        <w:pStyle w:val="ESBodyText0"/>
      </w:pPr>
      <w:r>
        <w:rPr>
          <w:noProof/>
        </w:rPr>
        <w:drawing>
          <wp:anchor distT="0" distB="0" distL="114300" distR="114300" simplePos="0" relativeHeight="251662336" behindDoc="0" locked="0" layoutInCell="1" allowOverlap="1">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AA27D3"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AA27D3"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AA27D3" w:rsidP="00BA1967">
            <w:pPr>
              <w:pStyle w:val="ESBodyText0"/>
              <w:spacing w:line="240" w:lineRule="auto"/>
              <w:jc w:val="center"/>
            </w:pPr>
            <w:r>
              <w:t>Latest year (2020)</w:t>
            </w:r>
          </w:p>
        </w:tc>
        <w:tc>
          <w:tcPr>
            <w:tcW w:w="1060" w:type="dxa"/>
            <w:vAlign w:val="bottom"/>
          </w:tcPr>
          <w:p w:rsidR="00AA27D3"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AA27D3" w:rsidP="00BA1967">
            <w:pPr>
              <w:pStyle w:val="ESBodyText0"/>
              <w:spacing w:line="240" w:lineRule="auto"/>
              <w:jc w:val="center"/>
            </w:pPr>
            <w:r>
              <w:t>49.5%</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51.6%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AA27D3" w:rsidRPr="00B20B33" w:rsidP="00BA1967">
            <w:pPr>
              <w:pStyle w:val="ESBodyText0"/>
              <w:spacing w:line="240" w:lineRule="auto"/>
              <w:jc w:val="center"/>
              <w:rPr>
                <w:color w:val="FFFFFF" w:themeColor="background1"/>
              </w:rPr>
            </w:pPr>
            <w:r>
              <w:rPr>
                <w:color w:val="FFFFFF" w:themeColor="background1"/>
              </w:rPr>
              <w:t>48.1%</w:t>
            </w:r>
          </w:p>
        </w:tc>
      </w:tr>
      <w:tr w:rsidTr="00301A6C">
        <w:tblPrEx>
          <w:tblW w:w="0" w:type="auto"/>
          <w:tblLayout w:type="fixed"/>
          <w:tblLook w:val="04A0"/>
        </w:tblPrEx>
        <w:trPr>
          <w:trHeight w:hRule="exact" w:val="567"/>
        </w:trPr>
        <w:tc>
          <w:tcPr>
            <w:tcW w:w="2835" w:type="dxa"/>
            <w:tcMar>
              <w:top w:w="57" w:type="dxa"/>
            </w:tcMar>
            <w:vAlign w:val="center"/>
          </w:tcPr>
          <w:p w:rsidR="00AA27D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AA27D3" w:rsidP="00BA1967">
            <w:pPr>
              <w:pStyle w:val="ESBodyText0"/>
              <w:spacing w:line="240" w:lineRule="auto"/>
              <w:jc w:val="center"/>
            </w:pPr>
            <w:r>
              <w:t>55.3%</w:t>
            </w:r>
          </w:p>
        </w:tc>
      </w:tr>
    </w:tbl>
    <w:p w:rsidR="004F0C48">
      <w:pPr>
        <w:pStyle w:val="ESBodyText0"/>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1270</wp:posOffset>
                </wp:positionV>
                <wp:extent cx="3686175" cy="704850"/>
                <wp:effectExtent l="0" t="0" r="9525" b="0"/>
                <wp:wrapNone/>
                <wp:docPr id="32774"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6" type="#_x0000_t202" alt="&quot;&quot;" style="height:55.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4624" fillcolor="white" stroked="f" strokeweight="0.5pt">
                <v:textbo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v:textbox>
                <w10:wrap anchorx="margin"/>
              </v:shape>
            </w:pict>
          </mc:Fallback>
        </mc:AlternateContent>
      </w:r>
    </w:p>
    <w:p w:rsidR="004F0C48">
      <w:pPr>
        <w:pStyle w:val="ESBodyText0"/>
      </w:pPr>
    </w:p>
    <w:p w:rsidR="00B94B51" w:rsidP="00B94B51">
      <w:pPr>
        <w:pStyle w:val="ESBodyText0"/>
        <w:spacing w:after="0" w:line="240" w:lineRule="auto"/>
      </w:pPr>
    </w:p>
    <w:p w:rsidR="00A55216" w:rsidP="00B94B51">
      <w:pPr>
        <w:pStyle w:val="ESBodyText0"/>
        <w:spacing w:after="0" w:line="240" w:lineRule="auto"/>
      </w:pPr>
    </w:p>
    <w:p w:rsidR="003221FB" w:rsidP="00D4348E">
      <w:pPr>
        <w:pStyle w:val="ESHeading3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046522">
        <w:t xml:space="preserve">, </w:t>
      </w:r>
      <w:r>
        <w:t>indicates the percent of positive responses (agree or strongly agree).</w:t>
      </w:r>
    </w:p>
    <w:p w:rsidR="00A55216">
      <w:pPr>
        <w:pStyle w:val="ESBodyText0"/>
      </w:pPr>
      <w:r w:rsidRPr="00195BCF">
        <w:t>Schools who participated in the Student Attitudes to School survey in 2020 should refer to the advice provided regarding the consistency of their data.</w:t>
      </w:r>
    </w:p>
    <w:p w:rsidR="001B1C12">
      <w:pPr>
        <w:pStyle w:val="ESBodyText0"/>
      </w:pPr>
      <w:r>
        <w:rPr>
          <w:noProof/>
        </w:rPr>
        <w:drawing>
          <wp:anchor distT="0" distB="0" distL="114300" distR="114300" simplePos="0" relativeHeight="251661312" behindDoc="0" locked="0" layoutInCell="1" allowOverlap="1">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53.3%</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54.1%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52.9%</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57.9%</w:t>
            </w:r>
          </w:p>
        </w:tc>
      </w:tr>
    </w:tbl>
    <w:p w:rsidR="001B1C12" w:rsidRPr="00A55216">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-4445</wp:posOffset>
                </wp:positionV>
                <wp:extent cx="3686175" cy="704850"/>
                <wp:effectExtent l="0" t="0" r="9525" b="0"/>
                <wp:wrapNone/>
                <wp:docPr id="32784"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7" type="#_x0000_t202" alt="&quot;&quot;" style="height:55.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v:textbox>
                <w10:wrap anchorx="margin"/>
              </v:shape>
            </w:pict>
          </mc:Fallback>
        </mc:AlternateContent>
      </w:r>
    </w:p>
    <w:p w:rsidR="001B1C12" w:rsidRPr="00A55216">
      <w:pPr>
        <w:pStyle w:val="ESBodyText0"/>
      </w:pPr>
    </w:p>
    <w:p w:rsidR="00B94B51" w:rsidRPr="00A55216">
      <w:pPr>
        <w:spacing w:after="0" w:line="240" w:lineRule="auto"/>
        <w:rPr>
          <w:rFonts w:eastAsiaTheme="majorEastAsia" w:cstheme="majorBidi"/>
          <w:bCs/>
          <w:caps/>
          <w:sz w:val="20"/>
          <w:szCs w:val="20"/>
        </w:rPr>
      </w:pPr>
    </w:p>
    <w:p w:rsidR="00A55216" w:rsidRPr="00A55216">
      <w:pPr>
        <w:spacing w:after="0" w:line="240" w:lineRule="auto"/>
        <w:rPr>
          <w:rFonts w:eastAsiaTheme="majorEastAsia" w:cstheme="majorBidi"/>
          <w:bCs/>
          <w:caps/>
          <w:sz w:val="20"/>
          <w:szCs w:val="20"/>
        </w:rPr>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$8,145,664</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$1,868,790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$36,020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$29,175</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$63,225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$980,528</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$9,188</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$11,132,590</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$338,869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$32,159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$371,028</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$9,629,282</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$1,962</w:t>
            </w:r>
          </w:p>
        </w:tc>
      </w:tr>
      <w:tr w:rsidTr="00170C22">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bCs w:val="0"/>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140216" w:rsidP="00170C22">
            <w:pPr>
              <w:jc w:val="right"/>
            </w:pPr>
            <w:r>
              <w:t>$762,505</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$27,219</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$142,934</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$90,799</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$30,429</w:t>
            </w:r>
          </w:p>
        </w:tc>
      </w:tr>
      <w:tr w:rsidTr="0014021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140216" w:rsidP="00170C22">
            <w:pPr>
              <w:spacing w:before="40" w:after="40" w:line="240" w:lineRule="auto"/>
              <w:rPr>
                <w:rFonts w:cs="Times New Roman"/>
                <w:b w:val="0"/>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140216" w:rsidP="00170C22">
            <w:pPr>
              <w:jc w:val="right"/>
            </w:pPr>
            <w:r>
              <w:t>$166,804</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$392,071</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$79,657</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C2284E">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C2284E">
            <w:pPr>
              <w:jc w:val="right"/>
            </w:pPr>
            <w:r>
              <w:t>$179,756</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$54,821</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140216" w:rsidP="00170C22">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140216" w:rsidP="00170C22">
            <w:pPr>
              <w:jc w:val="right"/>
            </w:pPr>
            <w:r>
              <w:t>$3,655</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$7,482</w:t>
            </w:r>
          </w:p>
        </w:tc>
      </w:tr>
      <w:tr w:rsidTr="00C2284E">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$109,634</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$11,679,010</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NDA</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$213,069</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02 Mar 2021</w:t>
      </w:r>
      <w:r>
        <w:t xml:space="preserve"> and are subject to change during the reconciliation process.</w:t>
      </w:r>
    </w:p>
    <w:p w:rsidR="000C0E44" w:rsidP="000C0E44">
      <w:pPr>
        <w:pStyle w:val="ESBodyText0"/>
        <w:numPr>
          <w:ilvl w:val="0"/>
          <w:numId w:val="29"/>
        </w:numPr>
      </w:pPr>
      <w:r>
        <w:t>Miscellaneous Expenses include bank charges, administration expenses, insurance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$1,984,805</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$127,411</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$24,388</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$2,136,604</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$304,323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$69,978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$280,296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$68,329</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$32,637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$7,337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$1,136,394</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$90,953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$383,061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$100,000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$2,473,308</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3F425B">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3236910"/>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8334185"/>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Essendon Keilor College</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160497507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Essendon Keilor College</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05426891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Essendon Keilor College</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header" Target="header8.xml" /><Relationship Id="rId34" Type="http://schemas.openxmlformats.org/officeDocument/2006/relationships/footer" Target="footer5.xml" /><Relationship Id="rId35" Type="http://schemas.openxmlformats.org/officeDocument/2006/relationships/header" Target="header9.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0.831</c:v>
                </c:pt>
                <c:pt idx="1">
                  <c:v>0.742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615598659923607"/>
          <c:y val="0.040000000000000008"/>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#N/A</c:v>
                </c:pt>
                <c:pt idx="1">
                  <c:v>0.540615</c:v>
                </c:pt>
                <c:pt idx="2">
                  <c:v>0.60257</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0.731</c:v>
                </c:pt>
                <c:pt idx="1">
                  <c:v>0.612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layout>
        <c:manualLayout>
          <c:xMode val="edge"/>
          <c:yMode val="edge"/>
          <c:x val="0.39169637043451411"/>
          <c:y val="0.04"/>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0.754839</c:v>
                </c:pt>
                <c:pt idx="1">
                  <c:v>0.696647</c:v>
                </c:pt>
                <c:pt idx="2">
                  <c:v>0.758248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7 to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0.714385</c:v>
                </c:pt>
                <c:pt idx="1">
                  <c:v>0.585812</c:v>
                </c:pt>
                <c:pt idx="2">
                  <c:v>0.663364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0.042780748663101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901738845144358"/>
          <c:y val="0.15530026246719161"/>
          <c:w val="0.754875"/>
          <c:h val="0.5956203068199362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24.8</c:v>
                </c:pt>
                <c:pt idx="1">
                  <c:v>26.5</c:v>
                </c:pt>
                <c:pt idx="2">
                  <c:v>28.8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14.819321</c:v>
                </c:pt>
                <c:pt idx="1">
                  <c:v>19.564969</c:v>
                </c:pt>
                <c:pt idx="2">
                  <c:v>17.819959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a:latin typeface="Arial" panose="020B0604020202020204" pitchFamily="34" charset="0"/>
              </a:defRPr>
            </a:pPr>
            <a:r>
              <a:rPr lang="en-AU" sz="900" b="1" i="0" baseline="0">
                <a:latin typeface="Arial" panose="020B0604020202020204" pitchFamily="34" charset="0"/>
              </a:rPr>
              <a:t>Year 7 to Year 10</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196692913385828"/>
          <c:w val="0.74001319353797357"/>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0.653</c:v>
                </c:pt>
                <c:pt idx="1">
                  <c:v>0.734</c:v>
                </c:pt>
                <c:pt idx="2">
                  <c:v>0.725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a:latin typeface="Arial" panose="020B0604020202020204" pitchFamily="34" charset="0"/>
              </a:defRPr>
            </a:pPr>
            <a:r>
              <a:rPr lang="en-AU" sz="900" b="1" i="0" baseline="0">
                <a:latin typeface="Arial" panose="020B0604020202020204" pitchFamily="34" charset="0"/>
              </a:rPr>
              <a:t>Years 10 to 12</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0.936</c:v>
                </c:pt>
                <c:pt idx="1">
                  <c:v>0.853</c:v>
                </c:pt>
                <c:pt idx="2">
                  <c:v>0.886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7 to 12</a:t>
            </a:r>
          </a:p>
        </c:rich>
      </c:tx>
      <c:layout>
        <c:manualLayout>
          <c:xMode val="edge"/>
          <c:yMode val="edge"/>
          <c:x val="0.25420054200542"/>
          <c:y val="0.04060913705583756"/>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#N/A</c:v>
                </c:pt>
                <c:pt idx="1">
                  <c:v>0.51602</c:v>
                </c:pt>
                <c:pt idx="2">
                  <c:v>0.595042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